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028E2A16"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775A6F" w:rsidRPr="00775A6F">
        <w:rPr>
          <w:rFonts w:ascii="Arial" w:hAnsi="Arial" w:cs="Arial"/>
          <w:sz w:val="22"/>
        </w:rPr>
        <w:t>R2-1909989</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3487F74" w:rsidR="00120D47" w:rsidRPr="009A1476" w:rsidRDefault="00120D47" w:rsidP="00F120D3">
      <w:pPr>
        <w:pStyle w:val="3GPPHeader"/>
        <w:spacing w:after="120"/>
        <w:rPr>
          <w:rFonts w:ascii="Arial" w:hAnsi="Arial" w:cs="Arial"/>
          <w:b w:val="0"/>
          <w:sz w:val="22"/>
        </w:rPr>
      </w:pPr>
      <w:r w:rsidRPr="007E49F5">
        <w:rPr>
          <w:rFonts w:ascii="Arial" w:hAnsi="Arial" w:cs="Arial"/>
          <w:sz w:val="22"/>
        </w:rPr>
        <w:t>Agenda Item:</w:t>
      </w:r>
      <w:r w:rsidRPr="007E49F5">
        <w:rPr>
          <w:rFonts w:ascii="Arial" w:hAnsi="Arial" w:cs="Arial"/>
          <w:sz w:val="22"/>
        </w:rPr>
        <w:tab/>
      </w:r>
      <w:r w:rsidR="007E49F5" w:rsidRPr="007E49F5">
        <w:rPr>
          <w:rFonts w:ascii="Arial" w:hAnsi="Arial" w:cs="Arial"/>
          <w:b w:val="0"/>
          <w:sz w:val="22"/>
          <w:lang w:val="en-US"/>
        </w:rPr>
        <w:t>11.11.5 UE assistance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2FDA6C7" w:rsidR="00120D47" w:rsidRPr="008F7D64" w:rsidRDefault="00120D47" w:rsidP="00F120D3">
      <w:pPr>
        <w:pStyle w:val="3GPPHeader"/>
        <w:spacing w:after="120"/>
        <w:rPr>
          <w:rFonts w:ascii="Arial" w:hAnsi="Arial" w:cs="Arial"/>
          <w:b w:val="0"/>
          <w:bCs/>
          <w:sz w:val="22"/>
        </w:rPr>
      </w:pPr>
      <w:r w:rsidRPr="005E50E8">
        <w:rPr>
          <w:rFonts w:ascii="Arial" w:hAnsi="Arial" w:cs="Arial"/>
          <w:sz w:val="22"/>
          <w:lang w:val="en-US"/>
        </w:rPr>
        <w:t xml:space="preserve">Title:  </w:t>
      </w:r>
      <w:r w:rsidRPr="005E50E8">
        <w:rPr>
          <w:rFonts w:ascii="Arial" w:hAnsi="Arial" w:cs="Arial"/>
          <w:sz w:val="22"/>
          <w:lang w:val="en-US"/>
        </w:rPr>
        <w:tab/>
      </w:r>
      <w:r w:rsidR="00104975" w:rsidRPr="00104975">
        <w:rPr>
          <w:rFonts w:ascii="Arial" w:hAnsi="Arial" w:cs="Arial"/>
          <w:b w:val="0"/>
          <w:bCs/>
          <w:sz w:val="22"/>
          <w:lang w:val="en-US"/>
        </w:rPr>
        <w:t xml:space="preserve">UE Assistance Information for </w:t>
      </w:r>
      <w:r w:rsidR="00FB4699">
        <w:rPr>
          <w:rFonts w:ascii="Arial" w:hAnsi="Arial" w:cs="Arial"/>
          <w:b w:val="0"/>
          <w:bCs/>
          <w:sz w:val="22"/>
          <w:lang w:val="en-US"/>
        </w:rPr>
        <w:t xml:space="preserve">UE </w:t>
      </w:r>
      <w:r w:rsidR="00104975" w:rsidRPr="00104975">
        <w:rPr>
          <w:rFonts w:ascii="Arial" w:hAnsi="Arial" w:cs="Arial"/>
          <w:b w:val="0"/>
          <w:bCs/>
          <w:sz w:val="22"/>
          <w:lang w:val="en-US"/>
        </w:rPr>
        <w:t>preferred BWP configuration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B352ADE" w:rsidR="00120D47" w:rsidRDefault="004D10CC" w:rsidP="00120D47">
      <w:pPr>
        <w:pStyle w:val="Heading1"/>
      </w:pPr>
      <w:r>
        <w:t>Introduction</w:t>
      </w:r>
    </w:p>
    <w:p w14:paraId="11824A8C" w14:textId="298AB72D" w:rsidR="005372F1" w:rsidRDefault="005372F1" w:rsidP="005372F1">
      <w:pPr>
        <w:rPr>
          <w:lang w:val="en-GB" w:eastAsia="zh-CN"/>
        </w:rPr>
      </w:pPr>
      <w:r>
        <w:rPr>
          <w:lang w:val="en-GB" w:eastAsia="zh-CN"/>
        </w:rPr>
        <w:t xml:space="preserve">One of the objectives of the revised power saving WID related to UE assistance signalling includes </w:t>
      </w:r>
      <w:r w:rsidR="00E04FD8">
        <w:rPr>
          <w:lang w:val="en-GB" w:eastAsia="zh-CN"/>
        </w:rPr>
        <w:t xml:space="preserve">the UE preferred </w:t>
      </w:r>
      <w:r>
        <w:rPr>
          <w:lang w:val="en-GB" w:eastAsia="zh-CN"/>
        </w:rPr>
        <w:t xml:space="preserve">BWP configuration [1]: </w:t>
      </w:r>
    </w:p>
    <w:p w14:paraId="2471A349" w14:textId="77777777" w:rsidR="005372F1" w:rsidRPr="005372F1" w:rsidRDefault="005372F1" w:rsidP="000C7544">
      <w:pPr>
        <w:pStyle w:val="ListParagraph"/>
        <w:numPr>
          <w:ilvl w:val="0"/>
          <w:numId w:val="7"/>
        </w:numPr>
        <w:overflowPunct w:val="0"/>
        <w:autoSpaceDE w:val="0"/>
        <w:autoSpaceDN w:val="0"/>
        <w:adjustRightInd w:val="0"/>
        <w:spacing w:after="180"/>
        <w:rPr>
          <w:rFonts w:ascii="Times New Roman" w:eastAsia="Times New Roman" w:hAnsi="Times New Roman"/>
          <w:color w:val="C45911" w:themeColor="accent2" w:themeShade="BF"/>
          <w:sz w:val="18"/>
          <w:szCs w:val="18"/>
        </w:rPr>
      </w:pPr>
      <w:r w:rsidRPr="005372F1">
        <w:rPr>
          <w:rFonts w:ascii="Times New Roman" w:eastAsia="Times New Roman" w:hAnsi="Times New Roman"/>
          <w:color w:val="C45911" w:themeColor="accent2" w:themeShade="BF"/>
          <w:sz w:val="18"/>
          <w:szCs w:val="18"/>
        </w:rPr>
        <w:t>Specify, if agreed, the mechanism to provide UE assistance information [RAN2, RAN1]:</w:t>
      </w:r>
    </w:p>
    <w:p w14:paraId="3691FD77" w14:textId="77777777" w:rsidR="005372F1" w:rsidRPr="005372F1" w:rsidRDefault="005372F1" w:rsidP="000C7544">
      <w:pPr>
        <w:pStyle w:val="ListParagraph"/>
        <w:numPr>
          <w:ilvl w:val="0"/>
          <w:numId w:val="8"/>
        </w:numPr>
        <w:overflowPunct w:val="0"/>
        <w:autoSpaceDE w:val="0"/>
        <w:autoSpaceDN w:val="0"/>
        <w:adjustRightInd w:val="0"/>
        <w:spacing w:after="180"/>
        <w:ind w:left="720" w:hanging="360"/>
        <w:rPr>
          <w:rFonts w:ascii="Times New Roman" w:eastAsia="Times New Roman" w:hAnsi="Times New Roman"/>
          <w:color w:val="C45911" w:themeColor="accent2" w:themeShade="BF"/>
          <w:sz w:val="18"/>
          <w:szCs w:val="18"/>
        </w:rPr>
      </w:pPr>
      <w:r w:rsidRPr="005372F1">
        <w:rPr>
          <w:rFonts w:ascii="Times New Roman" w:eastAsia="Times New Roman" w:hAnsi="Times New Roman"/>
          <w:color w:val="C45911" w:themeColor="accent2" w:themeShade="BF"/>
          <w:sz w:val="18"/>
          <w:szCs w:val="18"/>
        </w:rPr>
        <w:t>Study and select among the following UE assistance information for RAN2 by RAN#85:</w:t>
      </w:r>
    </w:p>
    <w:p w14:paraId="19B57ED2" w14:textId="77777777" w:rsidR="005372F1" w:rsidRPr="005372F1" w:rsidRDefault="005372F1" w:rsidP="005372F1">
      <w:pPr>
        <w:pStyle w:val="ListParagraph"/>
        <w:rPr>
          <w:rFonts w:ascii="Times New Roman" w:eastAsia="Times New Roman" w:hAnsi="Times New Roman"/>
          <w:color w:val="C45911" w:themeColor="accent2" w:themeShade="BF"/>
          <w:sz w:val="18"/>
          <w:szCs w:val="18"/>
        </w:rPr>
      </w:pPr>
      <w:r w:rsidRPr="005372F1">
        <w:rPr>
          <w:rFonts w:ascii="Times New Roman" w:eastAsia="Times New Roman" w:hAnsi="Times New Roman"/>
          <w:color w:val="C45911" w:themeColor="accent2" w:themeShade="BF"/>
          <w:sz w:val="18"/>
          <w:szCs w:val="18"/>
        </w:rPr>
        <w:t xml:space="preserve">power preferred information (baseline LTE PPI in a well-defined manner) and </w:t>
      </w:r>
      <w:r w:rsidRPr="0043546D">
        <w:rPr>
          <w:rFonts w:ascii="Times New Roman" w:eastAsia="Times New Roman" w:hAnsi="Times New Roman"/>
          <w:color w:val="C45911" w:themeColor="accent2" w:themeShade="BF"/>
          <w:sz w:val="18"/>
          <w:szCs w:val="18"/>
          <w:highlight w:val="yellow"/>
        </w:rPr>
        <w:t xml:space="preserve">UE's preference on </w:t>
      </w:r>
      <w:r w:rsidRPr="005372F1">
        <w:rPr>
          <w:rFonts w:ascii="Times New Roman" w:eastAsia="Times New Roman" w:hAnsi="Times New Roman"/>
          <w:color w:val="C45911" w:themeColor="accent2" w:themeShade="BF"/>
          <w:sz w:val="18"/>
          <w:szCs w:val="18"/>
        </w:rPr>
        <w:t xml:space="preserve">C-DRX, </w:t>
      </w:r>
      <w:r w:rsidRPr="0043546D">
        <w:rPr>
          <w:rFonts w:ascii="Times New Roman" w:eastAsia="Times New Roman" w:hAnsi="Times New Roman"/>
          <w:color w:val="C45911" w:themeColor="accent2" w:themeShade="BF"/>
          <w:sz w:val="18"/>
          <w:szCs w:val="18"/>
          <w:highlight w:val="yellow"/>
        </w:rPr>
        <w:t xml:space="preserve">BWP </w:t>
      </w:r>
      <w:r w:rsidRPr="005372F1">
        <w:rPr>
          <w:rFonts w:ascii="Times New Roman" w:eastAsia="Times New Roman" w:hAnsi="Times New Roman"/>
          <w:color w:val="C45911" w:themeColor="accent2" w:themeShade="BF"/>
          <w:sz w:val="18"/>
          <w:szCs w:val="18"/>
        </w:rPr>
        <w:t xml:space="preserve">and SCell </w:t>
      </w:r>
      <w:r w:rsidRPr="0043546D">
        <w:rPr>
          <w:rFonts w:ascii="Times New Roman" w:eastAsia="Times New Roman" w:hAnsi="Times New Roman"/>
          <w:color w:val="C45911" w:themeColor="accent2" w:themeShade="BF"/>
          <w:sz w:val="18"/>
          <w:szCs w:val="18"/>
          <w:highlight w:val="yellow"/>
        </w:rPr>
        <w:t xml:space="preserve">configuration </w:t>
      </w:r>
      <w:r w:rsidRPr="005372F1">
        <w:rPr>
          <w:rFonts w:ascii="Times New Roman" w:eastAsia="Times New Roman" w:hAnsi="Times New Roman"/>
          <w:color w:val="C45911" w:themeColor="accent2" w:themeShade="BF"/>
          <w:sz w:val="18"/>
          <w:szCs w:val="18"/>
        </w:rPr>
        <w:t>[RAN2].</w:t>
      </w:r>
    </w:p>
    <w:p w14:paraId="5917CA09" w14:textId="77777777" w:rsidR="000C7544" w:rsidRPr="00880F02" w:rsidRDefault="000C7544" w:rsidP="000C7544">
      <w:pPr>
        <w:pStyle w:val="ListParagraph"/>
        <w:spacing w:after="0"/>
        <w:ind w:left="0" w:right="1253"/>
        <w:rPr>
          <w:rFonts w:ascii="Times New Roman" w:hAnsi="Times New Roman"/>
          <w:bCs/>
          <w:color w:val="C45911" w:themeColor="accent2" w:themeShade="BF"/>
          <w:sz w:val="18"/>
          <w:szCs w:val="18"/>
          <w:lang w:eastAsia="zh-CN"/>
        </w:rPr>
      </w:pPr>
      <w:r w:rsidRPr="00880F02">
        <w:rPr>
          <w:rFonts w:ascii="Times New Roman" w:hAnsi="Times New Roman"/>
          <w:bCs/>
          <w:color w:val="C45911" w:themeColor="accent2" w:themeShade="BF"/>
          <w:sz w:val="18"/>
          <w:szCs w:val="18"/>
          <w:lang w:eastAsia="zh-CN"/>
        </w:rPr>
        <w:t xml:space="preserve">The following objective may be considered in RAN#85 pending progress on SCell dormant </w:t>
      </w:r>
      <w:proofErr w:type="spellStart"/>
      <w:r w:rsidRPr="00880F02">
        <w:rPr>
          <w:rFonts w:ascii="Times New Roman" w:hAnsi="Times New Roman"/>
          <w:bCs/>
          <w:color w:val="C45911" w:themeColor="accent2" w:themeShade="BF"/>
          <w:sz w:val="18"/>
          <w:szCs w:val="18"/>
          <w:lang w:eastAsia="zh-CN"/>
        </w:rPr>
        <w:t>behaviour</w:t>
      </w:r>
      <w:proofErr w:type="spellEnd"/>
      <w:r w:rsidRPr="00880F02">
        <w:rPr>
          <w:rFonts w:ascii="Times New Roman" w:hAnsi="Times New Roman"/>
          <w:bCs/>
          <w:color w:val="C45911" w:themeColor="accent2" w:themeShade="BF"/>
          <w:sz w:val="18"/>
          <w:szCs w:val="18"/>
          <w:lang w:eastAsia="zh-CN"/>
        </w:rPr>
        <w:t xml:space="preserve"> and will be re-evaluated in RAN#85</w:t>
      </w:r>
    </w:p>
    <w:p w14:paraId="00AE9676" w14:textId="77777777" w:rsidR="000C7544" w:rsidRPr="00880F02" w:rsidRDefault="000C7544" w:rsidP="000C7544">
      <w:pPr>
        <w:pStyle w:val="ListParagraph"/>
        <w:numPr>
          <w:ilvl w:val="0"/>
          <w:numId w:val="10"/>
        </w:numPr>
        <w:overflowPunct w:val="0"/>
        <w:autoSpaceDE w:val="0"/>
        <w:autoSpaceDN w:val="0"/>
        <w:adjustRightInd w:val="0"/>
        <w:spacing w:after="0"/>
        <w:ind w:right="1253"/>
        <w:rPr>
          <w:rFonts w:ascii="Times New Roman" w:hAnsi="Times New Roman"/>
          <w:color w:val="C45911" w:themeColor="accent2" w:themeShade="BF"/>
          <w:sz w:val="18"/>
          <w:szCs w:val="18"/>
          <w:lang w:eastAsia="zh-CN"/>
        </w:rPr>
      </w:pPr>
      <w:r w:rsidRPr="00880F02">
        <w:rPr>
          <w:rFonts w:ascii="Times New Roman" w:hAnsi="Times New Roman"/>
          <w:color w:val="C45911" w:themeColor="accent2" w:themeShade="BF"/>
          <w:sz w:val="18"/>
          <w:szCs w:val="18"/>
          <w:lang w:eastAsia="zh-CN"/>
        </w:rPr>
        <w:t xml:space="preserve">Study and specify (if agreed) power saving techniques to reduce PDCCH monitoring on activated SCells for CA and DC (EN-DC in particular).  </w:t>
      </w:r>
    </w:p>
    <w:p w14:paraId="44CEE284" w14:textId="77777777" w:rsidR="000C7544" w:rsidRPr="00880F02" w:rsidRDefault="000C7544" w:rsidP="000C7544">
      <w:pPr>
        <w:pStyle w:val="ListParagraph"/>
        <w:numPr>
          <w:ilvl w:val="1"/>
          <w:numId w:val="10"/>
        </w:numPr>
        <w:overflowPunct w:val="0"/>
        <w:autoSpaceDE w:val="0"/>
        <w:autoSpaceDN w:val="0"/>
        <w:adjustRightInd w:val="0"/>
        <w:spacing w:after="0"/>
        <w:ind w:right="1253"/>
        <w:rPr>
          <w:rFonts w:ascii="Times New Roman" w:hAnsi="Times New Roman"/>
          <w:bCs/>
          <w:color w:val="C45911" w:themeColor="accent2" w:themeShade="BF"/>
          <w:sz w:val="18"/>
          <w:szCs w:val="18"/>
          <w:lang w:eastAsia="zh-CN"/>
        </w:rPr>
      </w:pPr>
      <w:r w:rsidRPr="00880F02">
        <w:rPr>
          <w:rFonts w:ascii="Times New Roman" w:hAnsi="Times New Roman"/>
          <w:bCs/>
          <w:color w:val="C45911" w:themeColor="accent2" w:themeShade="BF"/>
          <w:sz w:val="18"/>
          <w:szCs w:val="18"/>
          <w:lang w:eastAsia="zh-CN"/>
        </w:rPr>
        <w:t>Solutions (e.g. power saving signal/channel, enhancing Rel-15 DRX procedure) are to be discussed</w:t>
      </w:r>
    </w:p>
    <w:p w14:paraId="4FD4BDE4" w14:textId="77777777" w:rsidR="000C7544" w:rsidRPr="00880F02" w:rsidRDefault="000C7544" w:rsidP="000C7544">
      <w:pPr>
        <w:pStyle w:val="ListParagraph"/>
        <w:numPr>
          <w:ilvl w:val="2"/>
          <w:numId w:val="10"/>
        </w:numPr>
        <w:overflowPunct w:val="0"/>
        <w:autoSpaceDE w:val="0"/>
        <w:autoSpaceDN w:val="0"/>
        <w:adjustRightInd w:val="0"/>
        <w:spacing w:afterLines="50" w:after="120"/>
        <w:ind w:right="1253"/>
        <w:rPr>
          <w:rFonts w:ascii="Times New Roman" w:hAnsi="Times New Roman"/>
          <w:bCs/>
          <w:color w:val="C45911" w:themeColor="accent2" w:themeShade="BF"/>
          <w:sz w:val="18"/>
          <w:szCs w:val="18"/>
          <w:lang w:eastAsia="zh-CN"/>
        </w:rPr>
      </w:pPr>
      <w:r w:rsidRPr="00880F02">
        <w:rPr>
          <w:rFonts w:ascii="Times New Roman" w:eastAsia="Times New Roman" w:hAnsi="Times New Roman"/>
          <w:color w:val="C45911" w:themeColor="accent2" w:themeShade="BF"/>
          <w:sz w:val="18"/>
          <w:szCs w:val="18"/>
        </w:rPr>
        <w:t>Enhancements to Rel-15 DRX procedure can be studied further if they do not violate the general principle of single DRX configuration per MAC entity</w:t>
      </w:r>
    </w:p>
    <w:p w14:paraId="01BA5328" w14:textId="1012FCAC" w:rsidR="005372F1" w:rsidRPr="005372F1" w:rsidRDefault="005372F1" w:rsidP="005372F1">
      <w:pPr>
        <w:rPr>
          <w:lang w:val="en-GB" w:eastAsia="zh-CN"/>
        </w:rPr>
      </w:pPr>
      <w:r>
        <w:rPr>
          <w:lang w:val="en-GB" w:eastAsia="zh-CN"/>
        </w:rPr>
        <w:t xml:space="preserve">UE assistance </w:t>
      </w:r>
      <w:r w:rsidR="0043546D">
        <w:rPr>
          <w:lang w:val="en-GB" w:eastAsia="zh-CN"/>
        </w:rPr>
        <w:t>for</w:t>
      </w:r>
      <w:r>
        <w:rPr>
          <w:lang w:val="en-GB" w:eastAsia="zh-CN"/>
        </w:rPr>
        <w:t xml:space="preserve"> BWP configuration is discussed further in this contribution. </w:t>
      </w:r>
    </w:p>
    <w:p w14:paraId="6F8A1D5D" w14:textId="3740C2D6" w:rsidR="004D10CC" w:rsidRDefault="004D10CC" w:rsidP="004D10CC">
      <w:pPr>
        <w:pStyle w:val="Heading1"/>
      </w:pPr>
      <w:bookmarkStart w:id="1" w:name="_Toc242573354"/>
      <w:r>
        <w:t>Background</w:t>
      </w:r>
    </w:p>
    <w:p w14:paraId="6E004A49" w14:textId="10BF9ABD" w:rsidR="005A0DC6" w:rsidRPr="005372F1" w:rsidRDefault="005A0DC6" w:rsidP="005A0DC6">
      <w:pPr>
        <w:rPr>
          <w:b/>
          <w:u w:val="single"/>
          <w:lang w:val="en-GB" w:eastAsia="zh-CN"/>
        </w:rPr>
      </w:pPr>
      <w:r w:rsidRPr="005372F1">
        <w:rPr>
          <w:b/>
          <w:u w:val="single"/>
          <w:lang w:val="en-GB" w:eastAsia="zh-CN"/>
        </w:rPr>
        <w:t>RAN2</w:t>
      </w:r>
      <w:r>
        <w:rPr>
          <w:b/>
          <w:u w:val="single"/>
          <w:lang w:val="en-GB" w:eastAsia="zh-CN"/>
        </w:rPr>
        <w:t xml:space="preserve"> agreements</w:t>
      </w:r>
    </w:p>
    <w:p w14:paraId="3B476227" w14:textId="77777777" w:rsidR="00923C32" w:rsidRPr="00923C32" w:rsidRDefault="00923C32" w:rsidP="000C7544">
      <w:pPr>
        <w:pStyle w:val="ListParagraph"/>
        <w:widowControl w:val="0"/>
        <w:numPr>
          <w:ilvl w:val="0"/>
          <w:numId w:val="9"/>
        </w:numPr>
        <w:spacing w:after="0"/>
        <w:contextualSpacing w:val="0"/>
        <w:jc w:val="both"/>
        <w:rPr>
          <w:rFonts w:ascii="Times New Roman" w:hAnsi="Times New Roman"/>
          <w:sz w:val="18"/>
          <w:szCs w:val="18"/>
        </w:rPr>
      </w:pPr>
      <w:r w:rsidRPr="00923C32">
        <w:rPr>
          <w:rFonts w:ascii="Times New Roman" w:hAnsi="Times New Roman"/>
          <w:sz w:val="18"/>
          <w:szCs w:val="18"/>
        </w:rPr>
        <w:t>Timer Based Uplink BWP Switch:</w:t>
      </w:r>
    </w:p>
    <w:p w14:paraId="3C8D5260" w14:textId="77777777" w:rsidR="00923C32" w:rsidRPr="00923C32" w:rsidRDefault="00923C32" w:rsidP="000C7544">
      <w:pPr>
        <w:pStyle w:val="ListParagraph"/>
        <w:widowControl w:val="0"/>
        <w:numPr>
          <w:ilvl w:val="1"/>
          <w:numId w:val="9"/>
        </w:numPr>
        <w:spacing w:after="0"/>
        <w:contextualSpacing w:val="0"/>
        <w:jc w:val="both"/>
        <w:rPr>
          <w:rFonts w:ascii="Times New Roman" w:hAnsi="Times New Roman"/>
          <w:sz w:val="18"/>
          <w:szCs w:val="18"/>
        </w:rPr>
      </w:pPr>
      <w:r w:rsidRPr="00923C32">
        <w:rPr>
          <w:rFonts w:ascii="Times New Roman" w:hAnsi="Times New Roman"/>
          <w:sz w:val="18"/>
          <w:szCs w:val="18"/>
        </w:rPr>
        <w:t xml:space="preserve">Not supported in Rel-16  </w:t>
      </w:r>
    </w:p>
    <w:p w14:paraId="7C938E7F" w14:textId="77777777" w:rsidR="00923C32" w:rsidRPr="00923C32" w:rsidRDefault="00923C32" w:rsidP="000C7544">
      <w:pPr>
        <w:pStyle w:val="Doc-text2"/>
        <w:numPr>
          <w:ilvl w:val="0"/>
          <w:numId w:val="9"/>
        </w:numPr>
        <w:tabs>
          <w:tab w:val="clear" w:pos="1622"/>
          <w:tab w:val="left" w:pos="605"/>
        </w:tabs>
        <w:rPr>
          <w:rFonts w:ascii="Times New Roman" w:hAnsi="Times New Roman"/>
          <w:sz w:val="18"/>
          <w:szCs w:val="18"/>
        </w:rPr>
      </w:pPr>
      <w:r w:rsidRPr="00923C32">
        <w:rPr>
          <w:rFonts w:ascii="Times New Roman" w:hAnsi="Times New Roman"/>
          <w:sz w:val="18"/>
          <w:szCs w:val="18"/>
        </w:rPr>
        <w:t>Capture in the TR the following potential UE assistance information:</w:t>
      </w:r>
    </w:p>
    <w:p w14:paraId="6C50337E" w14:textId="77777777" w:rsidR="00923C32" w:rsidRPr="00923C32" w:rsidRDefault="00923C32" w:rsidP="000C7544">
      <w:pPr>
        <w:pStyle w:val="Doc-text2"/>
        <w:numPr>
          <w:ilvl w:val="1"/>
          <w:numId w:val="9"/>
        </w:numPr>
        <w:tabs>
          <w:tab w:val="clear" w:pos="1622"/>
          <w:tab w:val="left" w:pos="605"/>
        </w:tabs>
        <w:spacing w:after="200"/>
        <w:ind w:left="1077" w:hanging="357"/>
        <w:rPr>
          <w:rFonts w:ascii="Times New Roman" w:hAnsi="Times New Roman"/>
          <w:sz w:val="18"/>
          <w:szCs w:val="18"/>
        </w:rPr>
      </w:pPr>
      <w:r w:rsidRPr="00923C32">
        <w:rPr>
          <w:rFonts w:ascii="Times New Roman" w:hAnsi="Times New Roman"/>
          <w:sz w:val="18"/>
          <w:szCs w:val="18"/>
        </w:rPr>
        <w:t>Whether to enable UE assistance information including (11) UE's preferred BWP configuration/parameters</w:t>
      </w:r>
    </w:p>
    <w:p w14:paraId="4A7F6116" w14:textId="1C2ED113" w:rsidR="005372F1" w:rsidRPr="005372F1" w:rsidRDefault="005372F1" w:rsidP="005372F1">
      <w:pPr>
        <w:rPr>
          <w:b/>
          <w:u w:val="single"/>
          <w:lang w:val="en-GB" w:eastAsia="zh-CN"/>
        </w:rPr>
      </w:pPr>
      <w:r w:rsidRPr="005372F1">
        <w:rPr>
          <w:b/>
          <w:u w:val="single"/>
          <w:lang w:val="en-GB" w:eastAsia="zh-CN"/>
        </w:rPr>
        <w:t>RAN2</w:t>
      </w:r>
      <w:r>
        <w:rPr>
          <w:b/>
          <w:u w:val="single"/>
          <w:lang w:val="en-GB" w:eastAsia="zh-CN"/>
        </w:rPr>
        <w:t>: email discussion UE assistance signalling</w:t>
      </w:r>
    </w:p>
    <w:p w14:paraId="1E58FA88" w14:textId="3B95AEA1" w:rsidR="005372F1" w:rsidRPr="005D76AA" w:rsidRDefault="005D76AA" w:rsidP="005372F1">
      <w:pPr>
        <w:rPr>
          <w:rFonts w:ascii="Times New Roman" w:hAnsi="Times New Roman"/>
          <w:sz w:val="18"/>
          <w:szCs w:val="18"/>
          <w:lang w:val="en-GB" w:eastAsia="zh-CN"/>
        </w:rPr>
      </w:pPr>
      <w:r w:rsidRPr="005D76AA">
        <w:rPr>
          <w:rFonts w:ascii="Times New Roman" w:hAnsi="Times New Roman"/>
          <w:b/>
          <w:color w:val="0000CC"/>
          <w:sz w:val="18"/>
          <w:szCs w:val="18"/>
        </w:rPr>
        <w:t>[To discuss]</w:t>
      </w:r>
      <w:r w:rsidRPr="005D76AA">
        <w:rPr>
          <w:rFonts w:ascii="Times New Roman" w:hAnsi="Times New Roman"/>
          <w:sz w:val="18"/>
          <w:szCs w:val="18"/>
        </w:rPr>
        <w:t xml:space="preserve"> Whether to enable UE assistance information including (11) UE's preferred BWP configuration/parameters,</w:t>
      </w:r>
    </w:p>
    <w:p w14:paraId="45BBECC2" w14:textId="126E43F5" w:rsidR="005372F1" w:rsidRPr="005372F1" w:rsidRDefault="005372F1" w:rsidP="005372F1">
      <w:pPr>
        <w:rPr>
          <w:b/>
          <w:u w:val="single"/>
          <w:lang w:val="en-GB" w:eastAsia="zh-CN"/>
        </w:rPr>
      </w:pPr>
      <w:r w:rsidRPr="005372F1">
        <w:rPr>
          <w:b/>
          <w:u w:val="single"/>
          <w:lang w:val="en-GB" w:eastAsia="zh-CN"/>
        </w:rPr>
        <w:t>38.840 conclusions</w:t>
      </w:r>
    </w:p>
    <w:p w14:paraId="14B5A3DD" w14:textId="77777777" w:rsidR="00923C32" w:rsidRPr="00923C32" w:rsidDel="00A9641D" w:rsidRDefault="00923C32" w:rsidP="00923C32">
      <w:pPr>
        <w:spacing w:after="0"/>
        <w:rPr>
          <w:rFonts w:ascii="Times New Roman" w:eastAsiaTheme="minorEastAsia" w:hAnsi="Times New Roman"/>
          <w:b/>
          <w:bCs/>
          <w:sz w:val="18"/>
          <w:szCs w:val="18"/>
          <w:lang w:eastAsia="zh-CN"/>
        </w:rPr>
      </w:pPr>
      <w:r w:rsidRPr="00923C32" w:rsidDel="00A9641D">
        <w:rPr>
          <w:rFonts w:ascii="Times New Roman" w:eastAsiaTheme="minorEastAsia" w:hAnsi="Times New Roman"/>
          <w:b/>
          <w:bCs/>
          <w:sz w:val="18"/>
          <w:szCs w:val="18"/>
          <w:lang w:eastAsia="zh-CN"/>
        </w:rPr>
        <w:t>UE assistance information (Section 5.1.6)</w:t>
      </w:r>
    </w:p>
    <w:p w14:paraId="175C046B" w14:textId="77777777" w:rsidR="00923C32" w:rsidRPr="00923C32" w:rsidRDefault="00923C32" w:rsidP="00923C32">
      <w:pPr>
        <w:rPr>
          <w:rFonts w:ascii="Times New Roman" w:eastAsiaTheme="minorEastAsia" w:hAnsi="Times New Roman"/>
          <w:b/>
          <w:sz w:val="18"/>
          <w:szCs w:val="18"/>
          <w:lang w:eastAsia="zh-CN"/>
        </w:rPr>
      </w:pPr>
      <w:r w:rsidRPr="00923C32">
        <w:rPr>
          <w:rFonts w:ascii="Times New Roman" w:hAnsi="Times New Roman"/>
          <w:sz w:val="18"/>
          <w:szCs w:val="18"/>
        </w:rPr>
        <w:t xml:space="preserve">It is also identified as helpful to further evaluate the following UE's assistance information: mobility history information (e.g. similarly as in LTE via </w:t>
      </w:r>
      <w:proofErr w:type="spellStart"/>
      <w:r w:rsidRPr="00923C32">
        <w:rPr>
          <w:rFonts w:ascii="Times New Roman" w:hAnsi="Times New Roman"/>
          <w:i/>
          <w:iCs/>
          <w:sz w:val="18"/>
          <w:szCs w:val="18"/>
        </w:rPr>
        <w:t>mobilityState</w:t>
      </w:r>
      <w:proofErr w:type="spellEnd"/>
      <w:r w:rsidRPr="00923C32">
        <w:rPr>
          <w:rFonts w:ascii="Times New Roman" w:hAnsi="Times New Roman"/>
          <w:sz w:val="18"/>
          <w:szCs w:val="18"/>
        </w:rPr>
        <w:t xml:space="preserve">, and </w:t>
      </w:r>
      <w:proofErr w:type="spellStart"/>
      <w:r w:rsidRPr="00923C32">
        <w:rPr>
          <w:rFonts w:ascii="Times New Roman" w:hAnsi="Times New Roman"/>
          <w:i/>
          <w:iCs/>
          <w:sz w:val="18"/>
          <w:szCs w:val="18"/>
        </w:rPr>
        <w:t>MobilityHistoryReport</w:t>
      </w:r>
      <w:proofErr w:type="spellEnd"/>
      <w:r w:rsidRPr="00923C32">
        <w:rPr>
          <w:rFonts w:ascii="Times New Roman" w:hAnsi="Times New Roman"/>
          <w:sz w:val="18"/>
          <w:szCs w:val="18"/>
        </w:rPr>
        <w:t xml:space="preserve"> (TS 36.331), power preference indication (baseline</w:t>
      </w:r>
      <w:r w:rsidRPr="00923C32">
        <w:rPr>
          <w:rFonts w:ascii="Times New Roman" w:eastAsiaTheme="minorEastAsia" w:hAnsi="Times New Roman"/>
          <w:sz w:val="18"/>
          <w:szCs w:val="18"/>
          <w:lang w:eastAsia="zh-CN"/>
        </w:rPr>
        <w:t xml:space="preserve"> LTE PPI in a well-defined manner</w:t>
      </w:r>
      <w:r w:rsidRPr="00923C32">
        <w:rPr>
          <w:rFonts w:ascii="Times New Roman" w:hAnsi="Times New Roman"/>
          <w:sz w:val="18"/>
          <w:szCs w:val="18"/>
        </w:rPr>
        <w:t>), UE's preferred information related to C-DRX, BWP and SCell configurations.  Other information that RAN1 considers as beneficial for UE power saving can be included in the UE assistance information.</w:t>
      </w:r>
    </w:p>
    <w:p w14:paraId="1DEB3AB7" w14:textId="7A9BBFFF" w:rsidR="00FA27C0" w:rsidRDefault="009D725A" w:rsidP="00FA27C0">
      <w:pPr>
        <w:pStyle w:val="Heading1"/>
      </w:pPr>
      <w:r>
        <w:lastRenderedPageBreak/>
        <w:t>Discussion</w:t>
      </w:r>
      <w:bookmarkEnd w:id="1"/>
    </w:p>
    <w:p w14:paraId="44219831" w14:textId="022CA5FC" w:rsidR="005221C1" w:rsidRPr="005221C1" w:rsidRDefault="005221C1" w:rsidP="005221C1">
      <w:pPr>
        <w:rPr>
          <w:lang w:val="en-GB" w:eastAsia="zh-CN"/>
        </w:rPr>
      </w:pPr>
      <w:r>
        <w:rPr>
          <w:lang w:val="en-GB" w:eastAsia="zh-CN"/>
        </w:rPr>
        <w:t xml:space="preserve">RAN2 will discuss the need for </w:t>
      </w:r>
      <w:proofErr w:type="spellStart"/>
      <w:r w:rsidRPr="005221C1">
        <w:rPr>
          <w:i/>
          <w:lang w:val="en-GB" w:eastAsia="zh-CN"/>
        </w:rPr>
        <w:t>maxMIMO</w:t>
      </w:r>
      <w:proofErr w:type="spellEnd"/>
      <w:r w:rsidRPr="005221C1">
        <w:rPr>
          <w:i/>
          <w:lang w:val="en-GB" w:eastAsia="zh-CN"/>
        </w:rPr>
        <w:t>-Layers</w:t>
      </w:r>
      <w:r>
        <w:rPr>
          <w:lang w:val="en-GB" w:eastAsia="zh-CN"/>
        </w:rPr>
        <w:t xml:space="preserve"> configuration per BWP or separately for initial/default and the other BWPs. If such</w:t>
      </w:r>
      <w:r w:rsidR="00A43B7F">
        <w:rPr>
          <w:lang w:val="en-GB" w:eastAsia="zh-CN"/>
        </w:rPr>
        <w:t xml:space="preserve"> a</w:t>
      </w:r>
      <w:r>
        <w:rPr>
          <w:lang w:val="en-GB" w:eastAsia="zh-CN"/>
        </w:rPr>
        <w:t xml:space="preserve"> configuration is supported, then dynamic MIMO adaptation via BWP switching is enabled. It is assumed that </w:t>
      </w:r>
      <w:r w:rsidR="0043546D">
        <w:rPr>
          <w:lang w:val="en-GB" w:eastAsia="zh-CN"/>
        </w:rPr>
        <w:t xml:space="preserve">MIMO adaptation via </w:t>
      </w:r>
      <w:r>
        <w:rPr>
          <w:lang w:val="en-GB" w:eastAsia="zh-CN"/>
        </w:rPr>
        <w:t>BWP switching is performed based on measurements reported by the UE (e.g. use lower number of MIMO layers when link is bad) and UL/DL traffic demand (e.g. based on BSR reporting and DL buffer size). In such case there is no need for UE assistance information from the UE for MIMO adaptation</w:t>
      </w:r>
      <w:r w:rsidR="00E6097C">
        <w:rPr>
          <w:lang w:val="en-GB" w:eastAsia="zh-CN"/>
        </w:rPr>
        <w:t xml:space="preserve">, i.e. the gNB can dynamically adapt based on the information available: </w:t>
      </w:r>
    </w:p>
    <w:p w14:paraId="797508CD" w14:textId="24A17A16" w:rsidR="0043546D" w:rsidRDefault="00923C32" w:rsidP="00923C32">
      <w:pPr>
        <w:rPr>
          <w:lang w:val="en-GB" w:eastAsia="zh-CN"/>
        </w:rPr>
      </w:pPr>
      <w:r w:rsidRPr="005E50E8">
        <w:rPr>
          <w:b/>
          <w:lang w:val="en-GB" w:eastAsia="zh-CN"/>
        </w:rPr>
        <w:t>Observation 1</w:t>
      </w:r>
      <w:r>
        <w:rPr>
          <w:lang w:val="en-GB" w:eastAsia="zh-CN"/>
        </w:rPr>
        <w:t xml:space="preserve">: In case </w:t>
      </w:r>
      <w:r w:rsidR="0043546D">
        <w:rPr>
          <w:lang w:val="en-GB" w:eastAsia="zh-CN"/>
        </w:rPr>
        <w:t>MIMO adaptation via BWP switching is supported</w:t>
      </w:r>
      <w:r w:rsidR="00E6097C">
        <w:rPr>
          <w:lang w:val="en-GB" w:eastAsia="zh-CN"/>
        </w:rPr>
        <w:t xml:space="preserve">, then </w:t>
      </w:r>
      <w:r w:rsidR="0043546D">
        <w:rPr>
          <w:lang w:val="en-GB" w:eastAsia="zh-CN"/>
        </w:rPr>
        <w:t xml:space="preserve">there is no need for UE assistance info for MIMO configuration. </w:t>
      </w:r>
    </w:p>
    <w:p w14:paraId="607C1961" w14:textId="36C00080" w:rsidR="00775A6F" w:rsidRDefault="0043546D" w:rsidP="005221C1">
      <w:pPr>
        <w:rPr>
          <w:lang w:val="en-GB" w:eastAsia="zh-CN"/>
        </w:rPr>
      </w:pPr>
      <w:r>
        <w:rPr>
          <w:lang w:val="en-GB" w:eastAsia="zh-CN"/>
        </w:rPr>
        <w:t xml:space="preserve">A </w:t>
      </w:r>
      <w:r w:rsidR="005221C1">
        <w:rPr>
          <w:lang w:val="en-GB" w:eastAsia="zh-CN"/>
        </w:rPr>
        <w:t xml:space="preserve">BWP can be </w:t>
      </w:r>
      <w:r>
        <w:rPr>
          <w:lang w:val="en-GB" w:eastAsia="zh-CN"/>
        </w:rPr>
        <w:t xml:space="preserve">configured with a smaller </w:t>
      </w:r>
      <w:r w:rsidRPr="000C7544">
        <w:rPr>
          <w:lang w:val="en-GB" w:eastAsia="zh-CN"/>
        </w:rPr>
        <w:t>bandwidth and/or sparse PDCCH periodicity</w:t>
      </w:r>
      <w:r>
        <w:rPr>
          <w:lang w:val="en-GB" w:eastAsia="zh-CN"/>
        </w:rPr>
        <w:t>. Such a BWP could be configured when there is no need to carry traffic and the UE wants to save power (aka “dormant” BWP). Such a “dormant” BWP fulfils similar functionality as when the UE enter</w:t>
      </w:r>
      <w:r w:rsidR="00AE0F21">
        <w:rPr>
          <w:lang w:val="en-GB" w:eastAsia="zh-CN"/>
        </w:rPr>
        <w:t>s</w:t>
      </w:r>
      <w:r>
        <w:rPr>
          <w:lang w:val="en-GB" w:eastAsia="zh-CN"/>
        </w:rPr>
        <w:t xml:space="preserve"> DRX in connected mode</w:t>
      </w:r>
      <w:r w:rsidR="00AE0F21">
        <w:rPr>
          <w:lang w:val="en-GB" w:eastAsia="zh-CN"/>
        </w:rPr>
        <w:t xml:space="preserve">, i.e. the UE is not required to monitor PDCCH and can save power. </w:t>
      </w:r>
      <w:r w:rsidR="00775A6F">
        <w:rPr>
          <w:lang w:val="en-GB" w:eastAsia="zh-CN"/>
        </w:rPr>
        <w:t xml:space="preserve">Dormant BWP switching can already be applied in REL-15, and in our view that is no need for the UE to indicate that it wants to switch to a dormant BWP, i.e. the NW can switch the UE based on BSR reporting and DL buffer size: </w:t>
      </w:r>
    </w:p>
    <w:p w14:paraId="1B999880" w14:textId="0236627B" w:rsidR="0081192C" w:rsidRDefault="0081192C" w:rsidP="0081192C">
      <w:pPr>
        <w:rPr>
          <w:lang w:val="en-GB" w:eastAsia="zh-CN"/>
        </w:rPr>
      </w:pPr>
      <w:r w:rsidRPr="005E50E8">
        <w:rPr>
          <w:b/>
          <w:lang w:val="en-GB" w:eastAsia="zh-CN"/>
        </w:rPr>
        <w:t xml:space="preserve">Observation </w:t>
      </w:r>
      <w:r>
        <w:rPr>
          <w:b/>
          <w:lang w:val="en-GB" w:eastAsia="zh-CN"/>
        </w:rPr>
        <w:t>2</w:t>
      </w:r>
      <w:r>
        <w:rPr>
          <w:lang w:val="en-GB" w:eastAsia="zh-CN"/>
        </w:rPr>
        <w:t xml:space="preserve">: </w:t>
      </w:r>
      <w:r w:rsidR="00DA45E1">
        <w:rPr>
          <w:lang w:val="en-GB" w:eastAsia="zh-CN"/>
        </w:rPr>
        <w:t>“D</w:t>
      </w:r>
      <w:r>
        <w:rPr>
          <w:lang w:val="en-GB" w:eastAsia="zh-CN"/>
        </w:rPr>
        <w:t xml:space="preserve">ormant” BWP can </w:t>
      </w:r>
      <w:r w:rsidR="00051F8E">
        <w:rPr>
          <w:lang w:val="en-GB" w:eastAsia="zh-CN"/>
        </w:rPr>
        <w:t xml:space="preserve">potentially enable </w:t>
      </w:r>
      <w:r>
        <w:rPr>
          <w:lang w:val="en-GB" w:eastAsia="zh-CN"/>
        </w:rPr>
        <w:t xml:space="preserve">SCell adaptation via BWP switching. </w:t>
      </w:r>
    </w:p>
    <w:p w14:paraId="179F808C" w14:textId="1EE03A62" w:rsidR="00775A6F" w:rsidRDefault="00775A6F" w:rsidP="00775A6F">
      <w:pPr>
        <w:rPr>
          <w:lang w:val="en-GB" w:eastAsia="zh-CN"/>
        </w:rPr>
      </w:pPr>
      <w:r>
        <w:rPr>
          <w:lang w:val="en-GB" w:eastAsia="zh-CN"/>
        </w:rPr>
        <w:t xml:space="preserve">It is noted that dormant-like SCell behaviour is currently being discussed in RAN1/RAN2 under the CA/DC work item [2]. </w:t>
      </w:r>
      <w:r w:rsidR="00A43B7F">
        <w:rPr>
          <w:lang w:val="en-GB" w:eastAsia="zh-CN"/>
        </w:rPr>
        <w:t>On dormant SCell t</w:t>
      </w:r>
      <w:r>
        <w:rPr>
          <w:lang w:val="en-GB" w:eastAsia="zh-CN"/>
        </w:rPr>
        <w:t xml:space="preserve">he UE is not required to monitor PDCCH, but performs CSR-RI measurements </w:t>
      </w:r>
      <w:r w:rsidR="00A43B7F">
        <w:rPr>
          <w:lang w:val="en-GB" w:eastAsia="zh-CN"/>
        </w:rPr>
        <w:t>to</w:t>
      </w:r>
      <w:r>
        <w:rPr>
          <w:lang w:val="en-GB" w:eastAsia="zh-CN"/>
        </w:rPr>
        <w:t xml:space="preserve"> enable a fast transition to Active state. </w:t>
      </w:r>
    </w:p>
    <w:p w14:paraId="143DEA4F" w14:textId="0131B990" w:rsidR="00A43B7F" w:rsidRDefault="002E4120" w:rsidP="0081192C">
      <w:pPr>
        <w:rPr>
          <w:lang w:val="en-GB" w:eastAsia="zh-CN"/>
        </w:rPr>
      </w:pPr>
      <w:r>
        <w:rPr>
          <w:lang w:val="en-GB" w:eastAsia="zh-CN"/>
        </w:rPr>
        <w:t xml:space="preserve">BWP switching is introduced as a means, among others, to adapt the bandwidth </w:t>
      </w:r>
      <w:r w:rsidR="00775A6F">
        <w:rPr>
          <w:lang w:val="en-GB" w:eastAsia="zh-CN"/>
        </w:rPr>
        <w:t>of the UE based on</w:t>
      </w:r>
      <w:r>
        <w:rPr>
          <w:lang w:val="en-GB" w:eastAsia="zh-CN"/>
        </w:rPr>
        <w:t xml:space="preserve"> traffic demand. The UE may potentially support </w:t>
      </w:r>
      <w:r w:rsidR="00775A6F">
        <w:rPr>
          <w:lang w:val="en-GB" w:eastAsia="zh-CN"/>
        </w:rPr>
        <w:t xml:space="preserve">different </w:t>
      </w:r>
      <w:r>
        <w:rPr>
          <w:lang w:val="en-GB" w:eastAsia="zh-CN"/>
        </w:rPr>
        <w:t xml:space="preserve">RF components with </w:t>
      </w:r>
      <w:r w:rsidR="00775A6F">
        <w:rPr>
          <w:lang w:val="en-GB" w:eastAsia="zh-CN"/>
        </w:rPr>
        <w:t>different</w:t>
      </w:r>
      <w:r>
        <w:rPr>
          <w:lang w:val="en-GB" w:eastAsia="zh-CN"/>
        </w:rPr>
        <w:t xml:space="preserve"> bandwidth</w:t>
      </w:r>
      <w:r w:rsidR="00775A6F">
        <w:rPr>
          <w:lang w:val="en-GB" w:eastAsia="zh-CN"/>
        </w:rPr>
        <w:t xml:space="preserve">. Thus certain bandwidth might be preferred by the UE, i.e. the bandwidths that exactly match the supported RF component. However there can be many different UE implementations, and the NW may have certain restrictions which bandwidths it supports. It is also not clear how a perfect match between the UE and NW should be implemented. Finally we suspect </w:t>
      </w:r>
      <w:r w:rsidR="00A43B7F">
        <w:rPr>
          <w:lang w:val="en-GB" w:eastAsia="zh-CN"/>
        </w:rPr>
        <w:t>that there is not a big power consumption impact in case the bandwidth of the BWP and the bandwidth of the RF component do not exactly match:</w:t>
      </w:r>
    </w:p>
    <w:p w14:paraId="62486EC9" w14:textId="1FB24521" w:rsidR="009B53CD" w:rsidRDefault="009B53CD" w:rsidP="0081192C">
      <w:pPr>
        <w:rPr>
          <w:lang w:val="en-GB" w:eastAsia="zh-CN"/>
        </w:rPr>
      </w:pPr>
      <w:r>
        <w:rPr>
          <w:b/>
          <w:lang w:val="en-GB" w:eastAsia="zh-CN"/>
        </w:rPr>
        <w:t>Proposal</w:t>
      </w:r>
      <w:r w:rsidRPr="005E50E8">
        <w:rPr>
          <w:b/>
          <w:lang w:val="en-GB" w:eastAsia="zh-CN"/>
        </w:rPr>
        <w:t xml:space="preserve"> </w:t>
      </w:r>
      <w:r>
        <w:rPr>
          <w:b/>
          <w:lang w:val="en-GB" w:eastAsia="zh-CN"/>
        </w:rPr>
        <w:t>1</w:t>
      </w:r>
      <w:r>
        <w:rPr>
          <w:lang w:val="en-GB" w:eastAsia="zh-CN"/>
        </w:rPr>
        <w:t xml:space="preserve">: The UE preferred bandwidth per BWP is not supported. </w:t>
      </w:r>
    </w:p>
    <w:p w14:paraId="364CAEBC" w14:textId="39345090" w:rsidR="005221C1" w:rsidRDefault="005221C1" w:rsidP="0081192C">
      <w:pPr>
        <w:rPr>
          <w:lang w:val="en-GB" w:eastAsia="zh-CN"/>
        </w:rPr>
      </w:pPr>
      <w:r>
        <w:rPr>
          <w:lang w:val="en-GB" w:eastAsia="zh-CN"/>
        </w:rPr>
        <w:t>When the “dormant” BWP</w:t>
      </w:r>
      <w:r w:rsidR="001D5A75">
        <w:rPr>
          <w:lang w:val="en-GB" w:eastAsia="zh-CN"/>
        </w:rPr>
        <w:t xml:space="preserve"> of the SCell</w:t>
      </w:r>
      <w:r>
        <w:rPr>
          <w:lang w:val="en-GB" w:eastAsia="zh-CN"/>
        </w:rPr>
        <w:t xml:space="preserve"> is not configured with a PDCCH search space a solution is needed to </w:t>
      </w:r>
      <w:r w:rsidR="00E6097C">
        <w:rPr>
          <w:lang w:val="en-GB" w:eastAsia="zh-CN"/>
        </w:rPr>
        <w:t>trigger</w:t>
      </w:r>
      <w:r>
        <w:rPr>
          <w:lang w:val="en-GB" w:eastAsia="zh-CN"/>
        </w:rPr>
        <w:t xml:space="preserve"> </w:t>
      </w:r>
      <w:r w:rsidR="00E6097C">
        <w:rPr>
          <w:lang w:val="en-GB" w:eastAsia="zh-CN"/>
        </w:rPr>
        <w:t>a</w:t>
      </w:r>
      <w:r>
        <w:rPr>
          <w:lang w:val="en-GB" w:eastAsia="zh-CN"/>
        </w:rPr>
        <w:t xml:space="preserve"> BWP switch from a “dormant” BWP to another BWP (i.e. to wake the UE up on the “dormant” BWP). </w:t>
      </w:r>
      <w:r w:rsidR="00E6097C">
        <w:rPr>
          <w:lang w:val="en-GB" w:eastAsia="zh-CN"/>
        </w:rPr>
        <w:t xml:space="preserve">But even when the “dormant” BWP is configured with a long PDCCH periodicity, the latency might be too long to wake the UE up.  </w:t>
      </w:r>
      <w:r w:rsidR="001D5A75">
        <w:rPr>
          <w:lang w:val="en-GB" w:eastAsia="zh-CN"/>
        </w:rPr>
        <w:t>It</w:t>
      </w:r>
      <w:r>
        <w:rPr>
          <w:lang w:val="en-GB" w:eastAsia="zh-CN"/>
        </w:rPr>
        <w:t xml:space="preserve"> is proposed to discuss these details further when there is progress on the “dormant” BWP</w:t>
      </w:r>
      <w:r w:rsidR="00E6097C">
        <w:rPr>
          <w:lang w:val="en-GB" w:eastAsia="zh-CN"/>
        </w:rPr>
        <w:t xml:space="preserve"> within the CD/DC work item: </w:t>
      </w:r>
    </w:p>
    <w:p w14:paraId="42208BDB" w14:textId="5FCE1956" w:rsidR="0081192C" w:rsidRPr="001F135A" w:rsidRDefault="009D21BD" w:rsidP="0081192C">
      <w:pPr>
        <w:rPr>
          <w:lang w:val="en-GB" w:eastAsia="zh-CN"/>
        </w:rPr>
      </w:pPr>
      <w:r>
        <w:rPr>
          <w:b/>
          <w:lang w:val="en-GB" w:eastAsia="zh-CN"/>
        </w:rPr>
        <w:t xml:space="preserve">Proposal </w:t>
      </w:r>
      <w:r w:rsidR="009B53CD">
        <w:rPr>
          <w:b/>
          <w:lang w:val="en-GB" w:eastAsia="zh-CN"/>
        </w:rPr>
        <w:t>2</w:t>
      </w:r>
      <w:r>
        <w:rPr>
          <w:b/>
          <w:lang w:val="en-GB" w:eastAsia="zh-CN"/>
        </w:rPr>
        <w:t xml:space="preserve">: </w:t>
      </w:r>
      <w:r w:rsidR="001F135A">
        <w:rPr>
          <w:lang w:val="en-GB" w:eastAsia="zh-CN"/>
        </w:rPr>
        <w:t xml:space="preserve">Wait for </w:t>
      </w:r>
      <w:r w:rsidR="00E6097C">
        <w:rPr>
          <w:lang w:val="en-GB" w:eastAsia="zh-CN"/>
        </w:rPr>
        <w:t>progress on</w:t>
      </w:r>
      <w:r w:rsidR="001F135A">
        <w:rPr>
          <w:lang w:val="en-GB" w:eastAsia="zh-CN"/>
        </w:rPr>
        <w:t xml:space="preserve"> “dormant” SCell under CA/DC work item</w:t>
      </w:r>
      <w:r w:rsidR="00E6097C">
        <w:rPr>
          <w:lang w:val="en-GB" w:eastAsia="zh-CN"/>
        </w:rPr>
        <w:t xml:space="preserve"> when considering “dormant” BWP.</w:t>
      </w:r>
      <w:bookmarkStart w:id="2" w:name="_GoBack"/>
      <w:bookmarkEnd w:id="2"/>
    </w:p>
    <w:p w14:paraId="5E650D32" w14:textId="77777777" w:rsidR="009D725A" w:rsidRDefault="009D725A" w:rsidP="009D725A">
      <w:pPr>
        <w:pStyle w:val="Heading1"/>
        <w:jc w:val="both"/>
      </w:pPr>
      <w:bookmarkStart w:id="3" w:name="_Toc242573360"/>
      <w:r>
        <w:t>Summary</w:t>
      </w:r>
      <w:bookmarkEnd w:id="3"/>
    </w:p>
    <w:p w14:paraId="65B81F03" w14:textId="250C8FF1" w:rsidR="001659F2" w:rsidRDefault="001659F2" w:rsidP="001659F2">
      <w:bookmarkStart w:id="4" w:name="_Toc242573361"/>
      <w:r>
        <w:t xml:space="preserve">RAN2 is kindly asked to </w:t>
      </w:r>
      <w:r w:rsidR="00910638">
        <w:t xml:space="preserve">discuss </w:t>
      </w:r>
      <w:r w:rsidR="001F135A" w:rsidRPr="001F135A">
        <w:t>UE preferred BWP configuration</w:t>
      </w:r>
      <w:r>
        <w:t xml:space="preserve">: </w:t>
      </w:r>
    </w:p>
    <w:p w14:paraId="0B78A193" w14:textId="77777777" w:rsidR="009B53CD" w:rsidRDefault="009B53CD" w:rsidP="009B53CD">
      <w:pPr>
        <w:rPr>
          <w:lang w:val="en-GB" w:eastAsia="zh-CN"/>
        </w:rPr>
      </w:pPr>
      <w:r>
        <w:rPr>
          <w:b/>
          <w:lang w:val="en-GB" w:eastAsia="zh-CN"/>
        </w:rPr>
        <w:t>Proposal</w:t>
      </w:r>
      <w:r w:rsidRPr="005E50E8">
        <w:rPr>
          <w:b/>
          <w:lang w:val="en-GB" w:eastAsia="zh-CN"/>
        </w:rPr>
        <w:t xml:space="preserve"> </w:t>
      </w:r>
      <w:r>
        <w:rPr>
          <w:b/>
          <w:lang w:val="en-GB" w:eastAsia="zh-CN"/>
        </w:rPr>
        <w:t>1</w:t>
      </w:r>
      <w:r>
        <w:rPr>
          <w:lang w:val="en-GB" w:eastAsia="zh-CN"/>
        </w:rPr>
        <w:t xml:space="preserve">: The UE preferred bandwidth per BWP is not supported. </w:t>
      </w:r>
    </w:p>
    <w:p w14:paraId="4E413B3B" w14:textId="4ED31AB6" w:rsidR="00E6097C" w:rsidRPr="001F135A" w:rsidRDefault="00E6097C" w:rsidP="00E6097C">
      <w:pPr>
        <w:rPr>
          <w:lang w:val="en-GB" w:eastAsia="zh-CN"/>
        </w:rPr>
      </w:pPr>
      <w:r>
        <w:rPr>
          <w:b/>
          <w:lang w:val="en-GB" w:eastAsia="zh-CN"/>
        </w:rPr>
        <w:t xml:space="preserve">Proposal </w:t>
      </w:r>
      <w:r w:rsidR="009B53CD">
        <w:rPr>
          <w:b/>
          <w:lang w:val="en-GB" w:eastAsia="zh-CN"/>
        </w:rPr>
        <w:t>2</w:t>
      </w:r>
      <w:r>
        <w:rPr>
          <w:b/>
          <w:lang w:val="en-GB" w:eastAsia="zh-CN"/>
        </w:rPr>
        <w:t xml:space="preserve">: </w:t>
      </w:r>
      <w:r>
        <w:rPr>
          <w:lang w:val="en-GB" w:eastAsia="zh-CN"/>
        </w:rPr>
        <w:t>Wait for progress on “dormant” SCell under CA/DC work item when considering “dormant” BWP.</w:t>
      </w:r>
    </w:p>
    <w:p w14:paraId="5A15FD36" w14:textId="77777777" w:rsidR="009D725A" w:rsidRDefault="009D725A" w:rsidP="009D725A">
      <w:pPr>
        <w:pStyle w:val="Heading1"/>
        <w:rPr>
          <w:noProof/>
        </w:rPr>
      </w:pPr>
      <w:r>
        <w:rPr>
          <w:noProof/>
        </w:rPr>
        <w:lastRenderedPageBreak/>
        <w:t>References</w:t>
      </w:r>
      <w:bookmarkEnd w:id="4"/>
    </w:p>
    <w:p w14:paraId="77BA256F" w14:textId="7E254F7C" w:rsidR="005372F1" w:rsidRDefault="00A43B7F" w:rsidP="005372F1">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5372F1">
          <w:rPr>
            <w:rStyle w:val="Hyperlink"/>
            <w:rFonts w:cs="Arial"/>
            <w:sz w:val="16"/>
            <w:szCs w:val="16"/>
            <w:lang w:val="de-DE"/>
          </w:rPr>
          <w:t>RP-191607</w:t>
        </w:r>
      </w:hyperlink>
      <w:r w:rsidR="005372F1">
        <w:rPr>
          <w:rFonts w:cs="Arial"/>
          <w:sz w:val="16"/>
          <w:szCs w:val="16"/>
          <w:lang w:val="de-DE"/>
        </w:rPr>
        <w:t xml:space="preserve">, </w:t>
      </w:r>
      <w:r w:rsidR="005372F1" w:rsidRPr="00643FA6">
        <w:rPr>
          <w:rFonts w:cs="Arial"/>
          <w:i/>
          <w:sz w:val="16"/>
          <w:szCs w:val="16"/>
          <w:lang w:val="de-DE"/>
        </w:rPr>
        <w:t>Revised WID: UE Power Saving in NR</w:t>
      </w:r>
      <w:r w:rsidR="005372F1">
        <w:rPr>
          <w:rFonts w:cs="Arial"/>
          <w:sz w:val="16"/>
          <w:szCs w:val="16"/>
          <w:lang w:val="de-DE"/>
        </w:rPr>
        <w:t xml:space="preserve">, Revised WID, </w:t>
      </w:r>
      <w:r w:rsidR="005372F1" w:rsidRPr="00643FA6">
        <w:rPr>
          <w:rFonts w:cs="Arial"/>
          <w:sz w:val="16"/>
          <w:szCs w:val="16"/>
          <w:lang w:val="de-DE"/>
        </w:rPr>
        <w:t>CATT</w:t>
      </w:r>
      <w:r w:rsidR="005372F1">
        <w:rPr>
          <w:rFonts w:cs="Arial"/>
          <w:sz w:val="16"/>
          <w:szCs w:val="16"/>
          <w:lang w:val="de-DE"/>
        </w:rPr>
        <w:t>, RAN#84</w:t>
      </w:r>
    </w:p>
    <w:p w14:paraId="78673DD5" w14:textId="71CA5A87" w:rsidR="005221C1" w:rsidRDefault="00A43B7F" w:rsidP="005372F1">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5221C1">
          <w:rPr>
            <w:rStyle w:val="Hyperlink"/>
            <w:rFonts w:cs="Arial"/>
            <w:sz w:val="16"/>
            <w:szCs w:val="16"/>
            <w:lang w:val="de-DE"/>
          </w:rPr>
          <w:t>RP-190452</w:t>
        </w:r>
      </w:hyperlink>
      <w:r w:rsidR="005221C1" w:rsidRPr="005221C1">
        <w:rPr>
          <w:rFonts w:cs="Arial"/>
          <w:sz w:val="16"/>
          <w:szCs w:val="16"/>
          <w:lang w:val="de-DE"/>
        </w:rPr>
        <w:t xml:space="preserve">, </w:t>
      </w:r>
      <w:r w:rsidR="005221C1" w:rsidRPr="005221C1">
        <w:rPr>
          <w:rFonts w:cs="Arial"/>
          <w:i/>
          <w:sz w:val="16"/>
          <w:szCs w:val="16"/>
          <w:lang w:val="de-DE"/>
        </w:rPr>
        <w:t>DC and CA enhancements</w:t>
      </w:r>
      <w:r w:rsidR="005221C1" w:rsidRPr="005221C1">
        <w:rPr>
          <w:rFonts w:cs="Arial"/>
          <w:sz w:val="16"/>
          <w:szCs w:val="16"/>
          <w:lang w:val="de-DE"/>
        </w:rPr>
        <w:t>,</w:t>
      </w:r>
      <w:r w:rsidR="005221C1">
        <w:rPr>
          <w:rFonts w:cs="Arial"/>
          <w:sz w:val="16"/>
          <w:szCs w:val="16"/>
          <w:lang w:val="de-DE"/>
        </w:rPr>
        <w:t xml:space="preserve"> Ericsson et all, WID, RAN#83</w:t>
      </w:r>
    </w:p>
    <w:p w14:paraId="372561FB" w14:textId="485B060E" w:rsidR="00D56716" w:rsidRPr="001D5A75" w:rsidRDefault="00D56716" w:rsidP="00FC6309">
      <w:pPr>
        <w:jc w:val="both"/>
        <w:rPr>
          <w:rFonts w:ascii="Times New Roman" w:eastAsia="SimSun" w:hAnsi="Times New Roman"/>
          <w:b/>
          <w:kern w:val="2"/>
          <w:sz w:val="18"/>
          <w:szCs w:val="18"/>
          <w:lang w:val="de-DE" w:eastAsia="zh-CN"/>
        </w:rPr>
      </w:pPr>
    </w:p>
    <w:sectPr w:rsidR="00D56716" w:rsidRPr="001D5A75"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541355"/>
    <w:multiLevelType w:val="hybridMultilevel"/>
    <w:tmpl w:val="3B6AD6EA"/>
    <w:lvl w:ilvl="0" w:tplc="04090001">
      <w:start w:val="1"/>
      <w:numFmt w:val="bullet"/>
      <w:lvlText w:val=""/>
      <w:lvlJc w:val="left"/>
      <w:pPr>
        <w:ind w:left="360" w:hanging="360"/>
      </w:pPr>
      <w:rPr>
        <w:rFonts w:ascii="Symbol" w:hAnsi="Symbol" w:hint="default"/>
      </w:rPr>
    </w:lvl>
    <w:lvl w:ilvl="1" w:tplc="49FEFA26">
      <w:numFmt w:val="bullet"/>
      <w:lvlText w:val=""/>
      <w:lvlJc w:val="left"/>
      <w:pPr>
        <w:ind w:left="1080" w:hanging="360"/>
      </w:pPr>
      <w:rPr>
        <w:rFonts w:ascii="Wingdings" w:eastAsia="MS Mincho"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4E5300"/>
    <w:multiLevelType w:val="hybridMultilevel"/>
    <w:tmpl w:val="8648FF2E"/>
    <w:lvl w:ilvl="0" w:tplc="0409000B">
      <w:start w:val="1"/>
      <w:numFmt w:val="bullet"/>
      <w:lvlText w:val=""/>
      <w:lvlJc w:val="left"/>
      <w:pPr>
        <w:ind w:left="720" w:hanging="360"/>
      </w:pPr>
      <w:rPr>
        <w:rFonts w:ascii="Wingdings" w:hAnsi="Wingdings" w:hint="default"/>
      </w:rPr>
    </w:lvl>
    <w:lvl w:ilvl="1" w:tplc="FD38D828">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90157D"/>
    <w:multiLevelType w:val="hybridMultilevel"/>
    <w:tmpl w:val="C6E4B816"/>
    <w:lvl w:ilvl="0" w:tplc="DAB4D5F6">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79285153"/>
    <w:multiLevelType w:val="multilevel"/>
    <w:tmpl w:val="79285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4"/>
  </w:num>
  <w:num w:numId="6">
    <w:abstractNumId w:val="9"/>
  </w:num>
  <w:num w:numId="7">
    <w:abstractNumId w:val="5"/>
  </w:num>
  <w:num w:numId="8">
    <w:abstractNumId w:val="0"/>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6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1F6E"/>
    <w:rsid w:val="00012285"/>
    <w:rsid w:val="00013C93"/>
    <w:rsid w:val="00020287"/>
    <w:rsid w:val="00020FFE"/>
    <w:rsid w:val="0002181B"/>
    <w:rsid w:val="00027BEA"/>
    <w:rsid w:val="000343D3"/>
    <w:rsid w:val="000362CF"/>
    <w:rsid w:val="0004162A"/>
    <w:rsid w:val="000464BA"/>
    <w:rsid w:val="0004760F"/>
    <w:rsid w:val="00051F8E"/>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C7544"/>
    <w:rsid w:val="000D1253"/>
    <w:rsid w:val="000D2C35"/>
    <w:rsid w:val="000E2DC8"/>
    <w:rsid w:val="000E47A9"/>
    <w:rsid w:val="000E6807"/>
    <w:rsid w:val="000F2D1B"/>
    <w:rsid w:val="0010497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A75"/>
    <w:rsid w:val="001D5EC7"/>
    <w:rsid w:val="001E6A9C"/>
    <w:rsid w:val="001E7FB2"/>
    <w:rsid w:val="001F135A"/>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3A8B"/>
    <w:rsid w:val="002E4120"/>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45E57"/>
    <w:rsid w:val="00352BFE"/>
    <w:rsid w:val="0035547C"/>
    <w:rsid w:val="00361092"/>
    <w:rsid w:val="003730EF"/>
    <w:rsid w:val="0037552C"/>
    <w:rsid w:val="0037629E"/>
    <w:rsid w:val="0037719E"/>
    <w:rsid w:val="00383177"/>
    <w:rsid w:val="00387975"/>
    <w:rsid w:val="00393247"/>
    <w:rsid w:val="00395015"/>
    <w:rsid w:val="003A5C51"/>
    <w:rsid w:val="003B2EA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546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1C1"/>
    <w:rsid w:val="00522CAB"/>
    <w:rsid w:val="005241C8"/>
    <w:rsid w:val="0052581A"/>
    <w:rsid w:val="00532DB1"/>
    <w:rsid w:val="005372F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0DC6"/>
    <w:rsid w:val="005A10D4"/>
    <w:rsid w:val="005A4001"/>
    <w:rsid w:val="005B0E5B"/>
    <w:rsid w:val="005B4B64"/>
    <w:rsid w:val="005B7E9E"/>
    <w:rsid w:val="005C16E7"/>
    <w:rsid w:val="005C4644"/>
    <w:rsid w:val="005C65A3"/>
    <w:rsid w:val="005D1894"/>
    <w:rsid w:val="005D2FD4"/>
    <w:rsid w:val="005D4EEC"/>
    <w:rsid w:val="005D6EA6"/>
    <w:rsid w:val="005D76AA"/>
    <w:rsid w:val="005E0137"/>
    <w:rsid w:val="005E02ED"/>
    <w:rsid w:val="005E42AD"/>
    <w:rsid w:val="005E50E8"/>
    <w:rsid w:val="005E5482"/>
    <w:rsid w:val="005E6CA0"/>
    <w:rsid w:val="005E6F22"/>
    <w:rsid w:val="005F2971"/>
    <w:rsid w:val="005F7274"/>
    <w:rsid w:val="005F7968"/>
    <w:rsid w:val="00602B94"/>
    <w:rsid w:val="00602F9F"/>
    <w:rsid w:val="00603CCA"/>
    <w:rsid w:val="00610534"/>
    <w:rsid w:val="0061135E"/>
    <w:rsid w:val="00612DDF"/>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4989"/>
    <w:rsid w:val="00775A6F"/>
    <w:rsid w:val="00776F25"/>
    <w:rsid w:val="00782D8E"/>
    <w:rsid w:val="007837C7"/>
    <w:rsid w:val="00787E14"/>
    <w:rsid w:val="00797CEE"/>
    <w:rsid w:val="007A7AB2"/>
    <w:rsid w:val="007B149C"/>
    <w:rsid w:val="007B23E4"/>
    <w:rsid w:val="007B6561"/>
    <w:rsid w:val="007C0B18"/>
    <w:rsid w:val="007C2EF2"/>
    <w:rsid w:val="007C3BC8"/>
    <w:rsid w:val="007C4779"/>
    <w:rsid w:val="007C51DD"/>
    <w:rsid w:val="007C52AF"/>
    <w:rsid w:val="007E0620"/>
    <w:rsid w:val="007E0821"/>
    <w:rsid w:val="007E264A"/>
    <w:rsid w:val="007E2E1A"/>
    <w:rsid w:val="007E4883"/>
    <w:rsid w:val="007E49F5"/>
    <w:rsid w:val="007F20CE"/>
    <w:rsid w:val="007F4DC3"/>
    <w:rsid w:val="007F72E1"/>
    <w:rsid w:val="008016A0"/>
    <w:rsid w:val="00805A8C"/>
    <w:rsid w:val="0081079F"/>
    <w:rsid w:val="0081192C"/>
    <w:rsid w:val="00811F16"/>
    <w:rsid w:val="00812433"/>
    <w:rsid w:val="008165F9"/>
    <w:rsid w:val="00817FB2"/>
    <w:rsid w:val="00825DCB"/>
    <w:rsid w:val="00830043"/>
    <w:rsid w:val="00834DE3"/>
    <w:rsid w:val="00842FC0"/>
    <w:rsid w:val="008440E1"/>
    <w:rsid w:val="00845C8A"/>
    <w:rsid w:val="00845DEA"/>
    <w:rsid w:val="0084641A"/>
    <w:rsid w:val="008576A8"/>
    <w:rsid w:val="008625D3"/>
    <w:rsid w:val="00864238"/>
    <w:rsid w:val="008751B4"/>
    <w:rsid w:val="00876ABB"/>
    <w:rsid w:val="00882664"/>
    <w:rsid w:val="00887CFE"/>
    <w:rsid w:val="008907ED"/>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3C32"/>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53CD"/>
    <w:rsid w:val="009B7330"/>
    <w:rsid w:val="009C0ACC"/>
    <w:rsid w:val="009C38E7"/>
    <w:rsid w:val="009C6E39"/>
    <w:rsid w:val="009D11CF"/>
    <w:rsid w:val="009D21BD"/>
    <w:rsid w:val="009D3D40"/>
    <w:rsid w:val="009D6008"/>
    <w:rsid w:val="009D725A"/>
    <w:rsid w:val="009E04E6"/>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3B7F"/>
    <w:rsid w:val="00A50249"/>
    <w:rsid w:val="00A51688"/>
    <w:rsid w:val="00A51B8D"/>
    <w:rsid w:val="00A52697"/>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06E2"/>
    <w:rsid w:val="00AD28B5"/>
    <w:rsid w:val="00AD4B91"/>
    <w:rsid w:val="00AE052B"/>
    <w:rsid w:val="00AE0F21"/>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25EC"/>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0157"/>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716"/>
    <w:rsid w:val="00D56A5F"/>
    <w:rsid w:val="00D60A8B"/>
    <w:rsid w:val="00D63F57"/>
    <w:rsid w:val="00D64441"/>
    <w:rsid w:val="00D74E12"/>
    <w:rsid w:val="00D81F6F"/>
    <w:rsid w:val="00D82E74"/>
    <w:rsid w:val="00D87F0D"/>
    <w:rsid w:val="00D92185"/>
    <w:rsid w:val="00D936ED"/>
    <w:rsid w:val="00D95D58"/>
    <w:rsid w:val="00D97D81"/>
    <w:rsid w:val="00DA42FF"/>
    <w:rsid w:val="00DA45E1"/>
    <w:rsid w:val="00DB4026"/>
    <w:rsid w:val="00DB4F7D"/>
    <w:rsid w:val="00DB5BC6"/>
    <w:rsid w:val="00DB637A"/>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04FD8"/>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097C"/>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1658"/>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699"/>
    <w:rsid w:val="00FB4C7C"/>
    <w:rsid w:val="00FC118E"/>
    <w:rsid w:val="00FC1207"/>
    <w:rsid w:val="00FC2706"/>
    <w:rsid w:val="00FC4BB5"/>
    <w:rsid w:val="00FC6309"/>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Lista1,?? ??,?????,????,列出段落1,中等深浅网格 1 - 着色 21,목록 단락,列表段落,¥¡¡¡¡ì¬º¥¹¥È¶ÎÂä,ÁÐ³ö¶ÎÂä,列表段落1,—ño’i—Ž,¥ê¥¹¥È¶ÎÂä,列出段落,1st level - Bullet List Paragraph,Lettre d'introduction,Paragrafo elenco,Normal bullet 2,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5E50E8"/>
    <w:pPr>
      <w:spacing w:before="40" w:after="0"/>
    </w:pPr>
    <w:rPr>
      <w:rFonts w:eastAsia="MS Mincho"/>
      <w:i/>
      <w:noProof/>
      <w:sz w:val="18"/>
      <w:szCs w:val="24"/>
      <w:lang w:val="en-GB" w:eastAsia="en-GB"/>
    </w:rPr>
  </w:style>
  <w:style w:type="character" w:customStyle="1" w:styleId="CommentsChar">
    <w:name w:val="Comments Char"/>
    <w:link w:val="Comments"/>
    <w:rsid w:val="005E50E8"/>
    <w:rPr>
      <w:rFonts w:ascii="Arial" w:eastAsia="MS Mincho" w:hAnsi="Arial"/>
      <w:i/>
      <w:noProof/>
      <w:sz w:val="18"/>
      <w:szCs w:val="24"/>
    </w:rPr>
  </w:style>
  <w:style w:type="paragraph" w:customStyle="1" w:styleId="TdocHeader">
    <w:name w:val="TdocHeader"/>
    <w:basedOn w:val="Normal"/>
    <w:link w:val="TdocHeaderChar"/>
    <w:qFormat/>
    <w:rsid w:val="008625D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8625D3"/>
    <w:rPr>
      <w:rFonts w:ascii="Arial" w:eastAsia="Times New Roman" w:hAnsi="Arial"/>
      <w:sz w:val="22"/>
      <w:shd w:val="clear" w:color="auto" w:fill="FBE4D5" w:themeFill="accent2" w:themeFillTint="33"/>
      <w:lang w:eastAsia="zh-CN"/>
    </w:rPr>
  </w:style>
  <w:style w:type="character" w:customStyle="1" w:styleId="EmailDisc-proposalChar">
    <w:name w:val="EmailDisc-proposal Char"/>
    <w:link w:val="EmailDisc-proposal"/>
    <w:rsid w:val="007B6561"/>
    <w:rPr>
      <w:rFonts w:ascii="Times New Roman" w:eastAsia="SimSun" w:hAnsi="Times New Roman"/>
    </w:rPr>
  </w:style>
  <w:style w:type="paragraph" w:customStyle="1" w:styleId="EmailDisc-proposal">
    <w:name w:val="EmailDisc-proposal"/>
    <w:basedOn w:val="Normal"/>
    <w:link w:val="EmailDisc-proposalChar"/>
    <w:qFormat/>
    <w:rsid w:val="007B6561"/>
    <w:pPr>
      <w:tabs>
        <w:tab w:val="num" w:pos="6245"/>
      </w:tabs>
      <w:overflowPunct w:val="0"/>
      <w:autoSpaceDE w:val="0"/>
      <w:autoSpaceDN w:val="0"/>
      <w:adjustRightInd w:val="0"/>
      <w:spacing w:after="180"/>
      <w:ind w:left="6245" w:hanging="432"/>
    </w:pPr>
    <w:rPr>
      <w:rFonts w:ascii="Times New Roman" w:eastAsia="SimSun" w:hAnsi="Times New Roman"/>
      <w:szCs w:val="20"/>
      <w:lang w:val="en-GB" w:eastAsia="en-GB"/>
    </w:rPr>
  </w:style>
  <w:style w:type="character" w:customStyle="1" w:styleId="MediumGrid1-Accent2Char">
    <w:name w:val="Medium Grid 1 - Accent 2 Char"/>
    <w:link w:val="MediumGrid1-Accent21"/>
    <w:uiPriority w:val="34"/>
    <w:locked/>
    <w:rsid w:val="007B6561"/>
    <w:rPr>
      <w:rFonts w:ascii="Times New Roman" w:eastAsia="SimSun" w:hAnsi="Times New Roman"/>
    </w:rPr>
  </w:style>
  <w:style w:type="paragraph" w:customStyle="1" w:styleId="MediumGrid1-Accent21">
    <w:name w:val="Medium Grid 1 - Accent 21"/>
    <w:basedOn w:val="Normal"/>
    <w:link w:val="MediumGrid1-Accent2Char"/>
    <w:uiPriority w:val="34"/>
    <w:qFormat/>
    <w:rsid w:val="007B6561"/>
    <w:pPr>
      <w:overflowPunct w:val="0"/>
      <w:autoSpaceDE w:val="0"/>
      <w:autoSpaceDN w:val="0"/>
      <w:adjustRightInd w:val="0"/>
      <w:spacing w:after="180"/>
      <w:ind w:left="720"/>
      <w:contextualSpacing/>
    </w:pPr>
    <w:rPr>
      <w:rFonts w:ascii="Times New Roman" w:eastAsia="SimSun" w:hAnsi="Times New Roman"/>
      <w:szCs w:val="20"/>
      <w:lang w:val="en-GB" w:eastAsia="en-GB"/>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列出段落 Char,Paragrafo elenco Char"/>
    <w:link w:val="ListParagraph"/>
    <w:uiPriority w:val="34"/>
    <w:qFormat/>
    <w:locked/>
    <w:rsid w:val="005372F1"/>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4/Docs/RP-19160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TSG_RAN//TSGR_83/Docs/RP-1904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C90-A800-4393-B9B2-83767079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38</cp:revision>
  <cp:lastPrinted>2009-10-21T14:47:00Z</cp:lastPrinted>
  <dcterms:created xsi:type="dcterms:W3CDTF">2019-01-22T06:45:00Z</dcterms:created>
  <dcterms:modified xsi:type="dcterms:W3CDTF">2019-08-16T05:30:00Z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